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21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1948815</wp:posOffset>
            </wp:positionH>
            <wp:positionV relativeFrom="paragraph">
              <wp:posOffset>301625</wp:posOffset>
            </wp:positionV>
            <wp:extent cx="3608705" cy="3429000"/>
            <wp:effectExtent l="0" t="0" r="0" b="0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97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660" w:right="600" w:bottom="280" w:left="840" w:header="720" w:footer="720" w:gutter="0"/>
          <w:cols w:space="720" w:num="1"/>
        </w:sectPr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产品简介</w:t>
      </w:r>
    </w:p>
    <w:p>
      <w:pPr>
        <w:pStyle w:val="2"/>
        <w:spacing w:before="65" w:line="276" w:lineRule="auto"/>
        <w:ind w:left="960" w:right="1200" w:firstLine="640"/>
        <w:jc w:val="both"/>
      </w:pPr>
      <w:r>
        <w:t>北斗/GNSS 基准站中接收机天线位于室外，为了防止天线受到损坏、延长天线使用寿命，需要与 HS-COV01 天</w:t>
      </w:r>
      <w:r>
        <w:rPr>
          <w:spacing w:val="-2"/>
        </w:rPr>
        <w:t>线罩组合使用，安装外置保护装置即天线罩，与外界复杂自然环境提供物理隔离。由于需要接收卫星信号，要求其天线罩透波性能良好，即卫星信号穿过天线罩时的能量损耗相对较少。其主要材料为树脂基透波复合材料，是一种由增强纤维和树脂基体所复合成的高分子材料，透波性能良好，具有质量轻、强度高的特点。电磁波在透过材料时，材料会对电磁波进行吸收和折射。</w:t>
      </w:r>
    </w:p>
    <w:p>
      <w:pPr>
        <w:spacing w:after="0" w:line="276" w:lineRule="auto"/>
        <w:jc w:val="both"/>
        <w:sectPr>
          <w:pgSz w:w="11910" w:h="16840"/>
          <w:pgMar w:top="1440" w:right="600" w:bottom="280" w:left="840" w:header="720" w:footer="720" w:gutter="0"/>
          <w:cols w:space="720" w:num="1"/>
        </w:sectPr>
      </w:pPr>
    </w:p>
    <w:p>
      <w:pPr>
        <w:spacing w:before="3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产品特点</w:t>
      </w:r>
    </w:p>
    <w:p>
      <w:pPr>
        <w:pStyle w:val="6"/>
        <w:numPr>
          <w:ilvl w:val="0"/>
          <w:numId w:val="1"/>
        </w:numPr>
        <w:tabs>
          <w:tab w:val="left" w:pos="1603"/>
        </w:tabs>
        <w:spacing w:before="21" w:after="0" w:line="271" w:lineRule="auto"/>
        <w:ind w:left="1603" w:right="1042" w:hanging="360"/>
        <w:jc w:val="left"/>
        <w:rPr>
          <w:rFonts w:hint="eastAsia" w:ascii="Noto Sans CJK JP" w:hAnsi="Noto Sans CJK JP" w:eastAsia="Noto Sans CJK JP"/>
          <w:b/>
          <w:sz w:val="32"/>
        </w:rPr>
      </w:pPr>
      <w:r>
        <w:rPr>
          <w:color w:val="333333"/>
          <w:spacing w:val="-2"/>
          <w:sz w:val="32"/>
        </w:rPr>
        <w:t>罩体表面采用专用白色胶衣树脂，相比传统天线罩采用</w:t>
      </w:r>
      <w:r>
        <w:rPr>
          <w:color w:val="333333"/>
          <w:spacing w:val="-13"/>
          <w:sz w:val="32"/>
        </w:rPr>
        <w:t>表面打磨喷漆工艺更光滑透亮，更具有耐候性、耐腐蚀、</w:t>
      </w:r>
      <w:r>
        <w:rPr>
          <w:color w:val="333333"/>
          <w:spacing w:val="-2"/>
          <w:sz w:val="32"/>
        </w:rPr>
        <w:t>耐紫外线、抗老化、耐摩擦、不泛黄、防止表面龟裂的</w:t>
      </w:r>
      <w:r>
        <w:rPr>
          <w:color w:val="333333"/>
          <w:spacing w:val="-4"/>
          <w:sz w:val="32"/>
        </w:rPr>
        <w:t>优点。</w:t>
      </w:r>
    </w:p>
    <w:p>
      <w:pPr>
        <w:pStyle w:val="6"/>
        <w:numPr>
          <w:ilvl w:val="0"/>
          <w:numId w:val="1"/>
        </w:numPr>
        <w:tabs>
          <w:tab w:val="left" w:pos="1603"/>
        </w:tabs>
        <w:spacing w:before="0" w:after="0" w:line="572" w:lineRule="exact"/>
        <w:ind w:left="1603" w:right="0" w:hanging="360"/>
        <w:jc w:val="left"/>
        <w:rPr>
          <w:rFonts w:hint="eastAsia" w:ascii="Noto Sans CJK JP" w:hAnsi="Noto Sans CJK JP" w:eastAsia="Noto Sans CJK JP"/>
          <w:b/>
          <w:sz w:val="32"/>
        </w:rPr>
      </w:pPr>
      <w:r>
        <w:rPr>
          <w:color w:val="333333"/>
          <w:spacing w:val="9"/>
          <w:sz w:val="32"/>
        </w:rPr>
        <w:t>罩体成型工艺不含任何金属杂质及无机填料以确保信</w:t>
      </w:r>
    </w:p>
    <w:p>
      <w:pPr>
        <w:pStyle w:val="2"/>
        <w:spacing w:before="66"/>
        <w:ind w:left="1603"/>
      </w:pPr>
      <w:r>
        <w:rPr>
          <w:color w:val="333333"/>
          <w:spacing w:val="-5"/>
        </w:rPr>
        <w:t>号接发效果。</w:t>
      </w:r>
    </w:p>
    <w:p>
      <w:pPr>
        <w:pStyle w:val="6"/>
        <w:numPr>
          <w:ilvl w:val="0"/>
          <w:numId w:val="1"/>
        </w:numPr>
        <w:tabs>
          <w:tab w:val="left" w:pos="1603"/>
        </w:tabs>
        <w:spacing w:before="36" w:after="0" w:line="266" w:lineRule="auto"/>
        <w:ind w:left="1603" w:right="1201" w:hanging="360"/>
        <w:jc w:val="left"/>
        <w:rPr>
          <w:rFonts w:hint="eastAsia" w:ascii="Noto Sans CJK JP" w:hAnsi="Noto Sans CJK JP" w:eastAsia="Noto Sans CJK JP"/>
          <w:b/>
          <w:color w:val="333333"/>
          <w:sz w:val="32"/>
        </w:rPr>
      </w:pPr>
      <w:r>
        <w:rPr>
          <w:color w:val="333333"/>
          <w:spacing w:val="-2"/>
          <w:sz w:val="32"/>
        </w:rPr>
        <w:t>采用高透明波率玻璃纤维透波复合材料，天线专用玻璃纤维树脂，信号透波率＞98%，介电常数＜3.9。</w:t>
      </w:r>
    </w:p>
    <w:p>
      <w:pPr>
        <w:pStyle w:val="2"/>
        <w:spacing w:before="19" w:line="276" w:lineRule="auto"/>
        <w:ind w:left="1603" w:right="1198"/>
      </w:pPr>
      <w:r>
        <w:rPr>
          <w:color w:val="333333"/>
          <w:spacing w:val="-23"/>
        </w:rPr>
        <w:t>罩体外表面平滑，呈白色光亮，确保产品无针眼、气泡、</w:t>
      </w:r>
      <w:r>
        <w:rPr>
          <w:color w:val="333333"/>
          <w:spacing w:val="-2"/>
        </w:rPr>
        <w:t>胶衣剥落、龟裂、杂色等缺陷。</w:t>
      </w:r>
    </w:p>
    <w:p>
      <w:pPr>
        <w:pStyle w:val="6"/>
        <w:numPr>
          <w:ilvl w:val="0"/>
          <w:numId w:val="1"/>
        </w:numPr>
        <w:tabs>
          <w:tab w:val="left" w:pos="1602"/>
        </w:tabs>
        <w:spacing w:before="0" w:after="0" w:line="555" w:lineRule="exact"/>
        <w:ind w:left="1602" w:right="0" w:hanging="359"/>
        <w:jc w:val="both"/>
        <w:rPr>
          <w:rFonts w:hint="eastAsia" w:ascii="Noto Sans CJK JP" w:hAnsi="Noto Sans CJK JP" w:eastAsia="Noto Sans CJK JP"/>
          <w:b/>
          <w:color w:val="333333"/>
          <w:sz w:val="32"/>
        </w:rPr>
      </w:pPr>
      <w:r>
        <w:rPr>
          <w:color w:val="333333"/>
          <w:spacing w:val="-5"/>
          <w:sz w:val="32"/>
        </w:rPr>
        <w:t>罩体可耐普通酸碱盐，表面确保耐盐雾性、耐海洋大气</w:t>
      </w:r>
    </w:p>
    <w:p>
      <w:pPr>
        <w:pStyle w:val="2"/>
        <w:spacing w:before="66" w:line="276" w:lineRule="auto"/>
        <w:ind w:left="1603" w:right="1198"/>
        <w:jc w:val="both"/>
      </w:pPr>
      <w:r>
        <w:rPr>
          <w:color w:val="333333"/>
          <w:spacing w:val="-3"/>
        </w:rPr>
        <w:t xml:space="preserve">腐蚀性，在强烈的日光紫外线照射下 </w:t>
      </w:r>
      <w:r>
        <w:rPr>
          <w:color w:val="333333"/>
          <w:spacing w:val="-2"/>
        </w:rPr>
        <w:t>3</w:t>
      </w:r>
      <w:r>
        <w:rPr>
          <w:color w:val="333333"/>
          <w:spacing w:val="-6"/>
        </w:rPr>
        <w:t xml:space="preserve"> 年没有明显的褪</w:t>
      </w:r>
      <w:r>
        <w:rPr>
          <w:color w:val="333333"/>
          <w:spacing w:val="-2"/>
        </w:rPr>
        <w:t>色和龟裂现象，在恶劣的自然环境中，能禁受住紫外线辐射、酷热严寒变化，并且抗老化、抗冲击能力好，无需特色维护。</w:t>
      </w:r>
    </w:p>
    <w:p>
      <w:pPr>
        <w:pStyle w:val="6"/>
        <w:numPr>
          <w:ilvl w:val="0"/>
          <w:numId w:val="1"/>
        </w:numPr>
        <w:tabs>
          <w:tab w:val="left" w:pos="1602"/>
        </w:tabs>
        <w:spacing w:before="0" w:after="0" w:line="551" w:lineRule="exact"/>
        <w:ind w:left="1602" w:right="0" w:hanging="359"/>
        <w:jc w:val="both"/>
        <w:rPr>
          <w:rFonts w:hint="eastAsia" w:ascii="Noto Sans CJK JP" w:hAnsi="Noto Sans CJK JP" w:eastAsia="Noto Sans CJK JP"/>
          <w:b/>
          <w:color w:val="333333"/>
          <w:sz w:val="32"/>
        </w:rPr>
      </w:pPr>
      <w:r>
        <w:rPr>
          <w:color w:val="333333"/>
          <w:spacing w:val="-33"/>
          <w:sz w:val="32"/>
        </w:rPr>
        <w:t>环向强度好，电气绝缘性佳，透波性强</w:t>
      </w:r>
      <w:r>
        <w:rPr>
          <w:color w:val="333333"/>
          <w:spacing w:val="-4"/>
          <w:sz w:val="32"/>
        </w:rPr>
        <w:t>（</w:t>
      </w:r>
      <w:r>
        <w:rPr>
          <w:color w:val="333333"/>
          <w:spacing w:val="-1"/>
          <w:sz w:val="32"/>
        </w:rPr>
        <w:t xml:space="preserve">透波率高达 </w:t>
      </w:r>
      <w:r>
        <w:rPr>
          <w:color w:val="333333"/>
          <w:spacing w:val="-5"/>
          <w:sz w:val="32"/>
        </w:rPr>
        <w:t>98%</w:t>
      </w:r>
    </w:p>
    <w:p>
      <w:pPr>
        <w:pStyle w:val="2"/>
        <w:spacing w:before="65"/>
        <w:ind w:left="1603"/>
      </w:pPr>
      <w:r>
        <w:rPr>
          <w:color w:val="333333"/>
          <w:spacing w:val="-4"/>
        </w:rPr>
        <w:t>以上</w:t>
      </w:r>
      <w:r>
        <w:rPr>
          <w:color w:val="333333"/>
          <w:spacing w:val="-159"/>
        </w:rPr>
        <w:t>）</w:t>
      </w:r>
      <w:r>
        <w:rPr>
          <w:color w:val="333333"/>
          <w:spacing w:val="-5"/>
        </w:rPr>
        <w:t>，无电感应涡流。</w:t>
      </w:r>
    </w:p>
    <w:p>
      <w:pPr>
        <w:spacing w:after="0"/>
        <w:sectPr>
          <w:pgSz w:w="11910" w:h="16840"/>
          <w:pgMar w:top="1440" w:right="600" w:bottom="280" w:left="840" w:header="720" w:footer="720" w:gutter="0"/>
          <w:cols w:space="720" w:num="1"/>
        </w:sectPr>
      </w:pPr>
    </w:p>
    <w:p>
      <w:pPr>
        <w:spacing w:before="3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技术参数</w:t>
      </w:r>
    </w:p>
    <w:tbl>
      <w:tblPr>
        <w:tblStyle w:val="3"/>
        <w:tblW w:w="0" w:type="auto"/>
        <w:tblInd w:w="9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5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参数类别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参数指标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名称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7"/>
                <w:sz w:val="32"/>
              </w:rPr>
              <w:t>天线罩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型号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w w:val="110"/>
                <w:sz w:val="32"/>
              </w:rPr>
              <w:t>HS-</w:t>
            </w:r>
            <w:r>
              <w:rPr>
                <w:spacing w:val="-2"/>
                <w:w w:val="115"/>
                <w:sz w:val="32"/>
              </w:rPr>
              <w:t>C0V01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972" w:type="dxa"/>
          </w:tcPr>
          <w:p>
            <w:pPr>
              <w:pStyle w:val="7"/>
              <w:spacing w:before="67"/>
              <w:rPr>
                <w:sz w:val="32"/>
              </w:rPr>
            </w:pPr>
            <w:r>
              <w:rPr>
                <w:spacing w:val="-8"/>
                <w:sz w:val="32"/>
              </w:rPr>
              <w:t>材质</w:t>
            </w:r>
          </w:p>
        </w:tc>
        <w:tc>
          <w:tcPr>
            <w:tcW w:w="5327" w:type="dxa"/>
          </w:tcPr>
          <w:p>
            <w:pPr>
              <w:pStyle w:val="7"/>
              <w:spacing w:before="67"/>
              <w:rPr>
                <w:sz w:val="32"/>
              </w:rPr>
            </w:pPr>
            <w:r>
              <w:rPr>
                <w:spacing w:val="-5"/>
                <w:sz w:val="32"/>
              </w:rPr>
              <w:t>玻璃纤维透波复合材料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尺寸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1"/>
                <w:sz w:val="32"/>
              </w:rPr>
              <w:t xml:space="preserve">外径 </w:t>
            </w:r>
            <w:r>
              <w:rPr>
                <w:sz w:val="32"/>
              </w:rPr>
              <w:t>225mm</w:t>
            </w:r>
            <w:r>
              <w:rPr>
                <w:spacing w:val="59"/>
                <w:w w:val="150"/>
                <w:sz w:val="32"/>
              </w:rPr>
              <w:t xml:space="preserve"> </w:t>
            </w:r>
            <w:r>
              <w:rPr>
                <w:spacing w:val="4"/>
                <w:sz w:val="32"/>
              </w:rPr>
              <w:t xml:space="preserve">高 </w:t>
            </w:r>
            <w:r>
              <w:rPr>
                <w:spacing w:val="-4"/>
                <w:sz w:val="32"/>
              </w:rPr>
              <w:t>190mm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72" w:type="dxa"/>
          </w:tcPr>
          <w:p>
            <w:pPr>
              <w:pStyle w:val="7"/>
              <w:spacing w:before="65"/>
              <w:rPr>
                <w:sz w:val="32"/>
              </w:rPr>
            </w:pPr>
            <w:r>
              <w:rPr>
                <w:spacing w:val="-8"/>
                <w:sz w:val="32"/>
              </w:rPr>
              <w:t>颜色</w:t>
            </w:r>
          </w:p>
        </w:tc>
        <w:tc>
          <w:tcPr>
            <w:tcW w:w="5327" w:type="dxa"/>
          </w:tcPr>
          <w:p>
            <w:pPr>
              <w:pStyle w:val="7"/>
              <w:spacing w:before="65"/>
              <w:rPr>
                <w:sz w:val="32"/>
              </w:rPr>
            </w:pPr>
            <w:r>
              <w:rPr>
                <w:spacing w:val="-8"/>
                <w:sz w:val="32"/>
              </w:rPr>
              <w:t>白色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7"/>
                <w:sz w:val="32"/>
              </w:rPr>
              <w:t>透波率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4"/>
                <w:w w:val="105"/>
                <w:sz w:val="32"/>
              </w:rPr>
              <w:t>＞98%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介电常数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w w:val="105"/>
                <w:sz w:val="32"/>
              </w:rPr>
              <w:t>0.3~40</w:t>
            </w:r>
            <w:r>
              <w:rPr>
                <w:spacing w:val="6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GHz</w:t>
            </w:r>
            <w:r>
              <w:rPr>
                <w:spacing w:val="-2"/>
                <w:w w:val="105"/>
                <w:sz w:val="32"/>
              </w:rPr>
              <w:t xml:space="preserve"> 微波范围内，&lt; </w:t>
            </w:r>
            <w:r>
              <w:rPr>
                <w:spacing w:val="-5"/>
                <w:w w:val="105"/>
                <w:sz w:val="32"/>
              </w:rPr>
              <w:t>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5"/>
                <w:sz w:val="32"/>
              </w:rPr>
              <w:t>介电损耗角正切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w w:val="105"/>
                <w:sz w:val="32"/>
              </w:rPr>
              <w:t>0.3~40GHz</w:t>
            </w:r>
            <w:r>
              <w:rPr>
                <w:spacing w:val="-2"/>
                <w:w w:val="105"/>
                <w:sz w:val="32"/>
              </w:rPr>
              <w:t xml:space="preserve"> 微波范围内，&lt; </w:t>
            </w:r>
            <w:r>
              <w:rPr>
                <w:spacing w:val="-4"/>
                <w:w w:val="105"/>
                <w:sz w:val="32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972" w:type="dxa"/>
          </w:tcPr>
          <w:p>
            <w:pPr>
              <w:pStyle w:val="7"/>
              <w:spacing w:before="67"/>
              <w:rPr>
                <w:sz w:val="32"/>
              </w:rPr>
            </w:pPr>
            <w:r>
              <w:rPr>
                <w:spacing w:val="-6"/>
                <w:sz w:val="32"/>
              </w:rPr>
              <w:t>温度范围</w:t>
            </w:r>
          </w:p>
        </w:tc>
        <w:tc>
          <w:tcPr>
            <w:tcW w:w="5327" w:type="dxa"/>
          </w:tcPr>
          <w:p>
            <w:pPr>
              <w:pStyle w:val="7"/>
              <w:spacing w:before="67"/>
              <w:rPr>
                <w:sz w:val="32"/>
              </w:rPr>
            </w:pPr>
            <w:r>
              <w:rPr>
                <w:w w:val="120"/>
                <w:sz w:val="32"/>
              </w:rPr>
              <w:t>-</w:t>
            </w:r>
            <w:r>
              <w:rPr>
                <w:spacing w:val="-2"/>
                <w:w w:val="120"/>
                <w:sz w:val="32"/>
              </w:rPr>
              <w:t>45℃~+110℃</w:t>
            </w:r>
          </w:p>
        </w:tc>
      </w:tr>
    </w:tbl>
    <w:p>
      <w:pPr>
        <w:pStyle w:val="2"/>
        <w:spacing w:before="48"/>
        <w:rPr>
          <w:rFonts w:ascii="Noto Sans CJK JP"/>
          <w:b/>
        </w:rPr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天线罩尺寸</w:t>
      </w:r>
    </w:p>
    <w:p>
      <w:pPr>
        <w:pStyle w:val="2"/>
        <w:rPr>
          <w:rFonts w:ascii="Noto Sans CJK JP"/>
          <w:b/>
          <w:sz w:val="20"/>
        </w:rPr>
      </w:pPr>
    </w:p>
    <w:p>
      <w:pPr>
        <w:pStyle w:val="2"/>
        <w:spacing w:before="208"/>
        <w:rPr>
          <w:rFonts w:ascii="Noto Sans CJK JP"/>
          <w:b/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956310</wp:posOffset>
            </wp:positionH>
            <wp:positionV relativeFrom="paragraph">
              <wp:posOffset>386715</wp:posOffset>
            </wp:positionV>
            <wp:extent cx="5428615" cy="2565400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349" cy="256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Noto Sans CJK JP"/>
          <w:sz w:val="20"/>
        </w:rPr>
        <w:sectPr>
          <w:pgSz w:w="11910" w:h="16840"/>
          <w:pgMar w:top="1440" w:right="600" w:bottom="280" w:left="840" w:header="720" w:footer="720" w:gutter="0"/>
          <w:cols w:space="720" w:num="1"/>
        </w:sectPr>
      </w:pPr>
    </w:p>
    <w:p>
      <w:pPr>
        <w:spacing w:before="3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安装底座图</w:t>
      </w:r>
    </w:p>
    <w:p>
      <w:pPr>
        <w:pStyle w:val="2"/>
        <w:spacing w:before="202"/>
        <w:rPr>
          <w:rFonts w:ascii="Noto Sans CJK JP"/>
          <w:b/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1426210</wp:posOffset>
            </wp:positionH>
            <wp:positionV relativeFrom="paragraph">
              <wp:posOffset>382270</wp:posOffset>
            </wp:positionV>
            <wp:extent cx="4386580" cy="4485640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461" cy="4485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490"/>
        <w:rPr>
          <w:rFonts w:ascii="Noto Sans CJK JP"/>
          <w:b/>
        </w:rPr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安装说明</w:t>
      </w:r>
    </w:p>
    <w:p>
      <w:pPr>
        <w:pStyle w:val="6"/>
        <w:numPr>
          <w:ilvl w:val="0"/>
          <w:numId w:val="2"/>
        </w:numPr>
        <w:tabs>
          <w:tab w:val="left" w:pos="1231"/>
        </w:tabs>
        <w:spacing w:before="65" w:after="0" w:line="276" w:lineRule="auto"/>
        <w:ind w:left="960" w:right="1198" w:firstLine="0"/>
        <w:jc w:val="left"/>
        <w:rPr>
          <w:sz w:val="32"/>
        </w:rPr>
      </w:pPr>
      <w:r>
        <w:rPr>
          <w:spacing w:val="40"/>
          <w:sz w:val="32"/>
        </w:rPr>
        <w:t xml:space="preserve">将 </w:t>
      </w:r>
      <w:r>
        <w:rPr>
          <w:sz w:val="32"/>
        </w:rPr>
        <w:t>GNSS 天线罩四个螺丝孔位对准对中器底座四侧安装</w:t>
      </w:r>
      <w:r>
        <w:rPr>
          <w:spacing w:val="5"/>
          <w:sz w:val="32"/>
        </w:rPr>
        <w:t xml:space="preserve">螺丝孔位，用 </w:t>
      </w:r>
      <w:r>
        <w:rPr>
          <w:sz w:val="32"/>
        </w:rPr>
        <w:t>M4 螺丝对准孔位拧紧即可。</w:t>
      </w:r>
    </w:p>
    <w:p>
      <w:pPr>
        <w:pStyle w:val="6"/>
        <w:numPr>
          <w:ilvl w:val="0"/>
          <w:numId w:val="2"/>
        </w:numPr>
        <w:tabs>
          <w:tab w:val="left" w:pos="1223"/>
        </w:tabs>
        <w:spacing w:before="0" w:after="0" w:line="541" w:lineRule="exact"/>
        <w:ind w:left="1223" w:right="0" w:hanging="263"/>
        <w:jc w:val="left"/>
        <w:rPr>
          <w:sz w:val="32"/>
        </w:rPr>
      </w:pPr>
      <w:r>
        <w:rPr>
          <w:spacing w:val="-5"/>
          <w:sz w:val="32"/>
        </w:rPr>
        <w:t>立柱顶部与天线置安装底座对接方式</w:t>
      </w:r>
    </w:p>
    <w:p>
      <w:pPr>
        <w:pStyle w:val="2"/>
        <w:spacing w:before="80" w:line="276" w:lineRule="auto"/>
        <w:ind w:left="960" w:right="1196"/>
        <w:jc w:val="both"/>
      </w:pPr>
      <w:r>
        <w:rPr>
          <w:spacing w:val="-6"/>
        </w:rPr>
        <w:t>方式①:立杆顶部焊接和立杆直径一样大的封口板，在封口板</w:t>
      </w:r>
      <w:r>
        <w:t>直径为 84mm</w:t>
      </w:r>
      <w:r>
        <w:rPr>
          <w:spacing w:val="-8"/>
        </w:rPr>
        <w:t xml:space="preserve"> 的圆上，三等分开三个直径</w:t>
      </w:r>
      <w:r>
        <w:t>4mm</w:t>
      </w:r>
      <w:r>
        <w:rPr>
          <w:spacing w:val="4"/>
        </w:rPr>
        <w:t xml:space="preserve"> 孔并攻</w:t>
      </w:r>
      <w:r>
        <w:t>M5</w:t>
      </w:r>
      <w:r>
        <w:rPr>
          <w:spacing w:val="-19"/>
        </w:rPr>
        <w:t xml:space="preserve">丝牙，用三颗 </w:t>
      </w:r>
      <w:r>
        <w:t>M5</w:t>
      </w:r>
      <w:r>
        <w:rPr>
          <w:spacing w:val="-1"/>
        </w:rPr>
        <w:t xml:space="preserve"> 螺丝将天线底座与立杆顶部攻丝孔连接即</w:t>
      </w:r>
    </w:p>
    <w:p>
      <w:pPr>
        <w:spacing w:after="0" w:line="276" w:lineRule="auto"/>
        <w:jc w:val="both"/>
        <w:sectPr>
          <w:pgSz w:w="11910" w:h="16840"/>
          <w:pgMar w:top="1440" w:right="600" w:bottom="280" w:left="840" w:header="720" w:footer="720" w:gutter="0"/>
          <w:cols w:space="720" w:num="1"/>
        </w:sectPr>
      </w:pPr>
    </w:p>
    <w:p>
      <w:pPr>
        <w:pStyle w:val="2"/>
        <w:spacing w:before="47"/>
        <w:ind w:left="960"/>
      </w:pPr>
      <w:r>
        <w:rPr>
          <w:spacing w:val="-8"/>
        </w:rPr>
        <w:t>可。</w:t>
      </w:r>
    </w:p>
    <w:p>
      <w:pPr>
        <w:pStyle w:val="2"/>
        <w:spacing w:before="79" w:line="276" w:lineRule="auto"/>
        <w:ind w:left="960" w:right="1037"/>
      </w:pPr>
      <w:r>
        <w:rPr>
          <w:spacing w:val="-4"/>
        </w:rPr>
        <w:t xml:space="preserve">方式②:在立杆顶部焊接一块圆板，在直径为 </w:t>
      </w:r>
      <w:r>
        <w:t>162mm</w:t>
      </w:r>
      <w:r>
        <w:rPr>
          <w:spacing w:val="9"/>
        </w:rPr>
        <w:t xml:space="preserve"> 圆上，</w:t>
      </w:r>
      <w:r>
        <w:t>四等分开 4 个直径 5.2mm 孔位，用 4</w:t>
      </w:r>
      <w:r>
        <w:rPr>
          <w:spacing w:val="39"/>
        </w:rPr>
        <w:t xml:space="preserve"> 颗</w:t>
      </w:r>
      <w:r>
        <w:t>M5 螺丝螺母对接</w:t>
      </w:r>
      <w:r>
        <w:rPr>
          <w:spacing w:val="-2"/>
          <w:w w:val="105"/>
        </w:rPr>
        <w:t>连接即可。</w:t>
      </w:r>
    </w:p>
    <w:p>
      <w:pPr>
        <w:pStyle w:val="2"/>
        <w:spacing w:line="276" w:lineRule="auto"/>
        <w:ind w:left="960" w:right="1201"/>
      </w:pPr>
      <w:r>
        <w:rPr>
          <w:spacing w:val="-6"/>
        </w:rPr>
        <w:t>方式③:将天线置安装底座直接焊接在立杆顶部，直接安装即</w:t>
      </w:r>
      <w:r>
        <w:rPr>
          <w:spacing w:val="-2"/>
        </w:rPr>
        <w:t>可。(注:立杆封口板注意开走线孔)</w:t>
      </w:r>
    </w:p>
    <w:p>
      <w:pPr>
        <w:pStyle w:val="6"/>
        <w:numPr>
          <w:ilvl w:val="0"/>
          <w:numId w:val="2"/>
        </w:numPr>
        <w:tabs>
          <w:tab w:val="left" w:pos="1223"/>
        </w:tabs>
        <w:spacing w:before="0" w:after="0" w:line="276" w:lineRule="auto"/>
        <w:ind w:left="960" w:right="1202" w:firstLine="0"/>
        <w:jc w:val="left"/>
        <w:rPr>
          <w:sz w:val="32"/>
        </w:rPr>
      </w:pPr>
      <w:r>
        <w:rPr>
          <w:sz w:val="32"/>
        </w:rPr>
        <w:t>该安装底座集成安装 GNSS</w:t>
      </w:r>
      <w:r>
        <w:rPr>
          <w:spacing w:val="-9"/>
          <w:sz w:val="32"/>
        </w:rPr>
        <w:t xml:space="preserve"> 天线和天线罩于一体，安装更</w:t>
      </w:r>
      <w:r>
        <w:rPr>
          <w:spacing w:val="-2"/>
          <w:sz w:val="32"/>
        </w:rPr>
        <w:t>简便，加工立杆更简单，运输也更方便。</w:t>
      </w:r>
    </w:p>
    <w:p>
      <w:pPr>
        <w:pStyle w:val="2"/>
        <w:spacing w:before="22"/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安装示意图</w:t>
      </w:r>
    </w:p>
    <w:p>
      <w:pPr>
        <w:pStyle w:val="2"/>
        <w:rPr>
          <w:rFonts w:ascii="Noto Sans CJK JP"/>
          <w:b/>
          <w:sz w:val="5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746125</wp:posOffset>
            </wp:positionH>
            <wp:positionV relativeFrom="paragraph">
              <wp:posOffset>74930</wp:posOffset>
            </wp:positionV>
            <wp:extent cx="5967730" cy="3289935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69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Noto Sans CJK JP"/>
          <w:sz w:val="5"/>
        </w:rPr>
        <w:sectPr>
          <w:pgSz w:w="11910" w:h="16840"/>
          <w:pgMar w:top="1440" w:right="600" w:bottom="280" w:left="840" w:header="720" w:footer="720" w:gutter="0"/>
          <w:cols w:space="720" w:num="1"/>
        </w:sectPr>
      </w:pPr>
    </w:p>
    <w:p>
      <w:pPr>
        <w:spacing w:before="3"/>
        <w:ind w:left="960" w:right="0" w:firstLine="0"/>
        <w:jc w:val="left"/>
        <w:rPr>
          <w:rFonts w:ascii="Noto Sans CJK JP"/>
          <w:sz w:val="18"/>
        </w:rPr>
        <w:sectPr>
          <w:pgSz w:w="11910" w:h="16840"/>
          <w:pgMar w:top="1440" w:right="600" w:bottom="280" w:left="840" w:header="720" w:footer="720" w:gutter="0"/>
          <w:cols w:space="720" w:num="1"/>
        </w:sect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754380</wp:posOffset>
            </wp:positionH>
            <wp:positionV relativeFrom="paragraph">
              <wp:posOffset>616585</wp:posOffset>
            </wp:positionV>
            <wp:extent cx="6352540" cy="3255010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413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Noto Sans CJK JP" w:eastAsia="Noto Sans CJK JP"/>
          <w:b/>
          <w:spacing w:val="-5"/>
          <w:sz w:val="32"/>
        </w:rPr>
        <w:t>整体安装效果图</w: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231775</wp:posOffset>
                </wp:positionV>
                <wp:extent cx="6352540" cy="3270250"/>
                <wp:effectExtent l="0" t="0" r="0" b="0"/>
                <wp:wrapTopAndBottom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327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Noto Sans CJK JP"/>
                                <w:b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Noto Sans CJK JP"/>
                                <w:b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Noto Sans CJK JP"/>
                                <w:b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410"/>
                              <w:rPr>
                                <w:rFonts w:ascii="Noto Sans CJK JP"/>
                                <w:b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76" w:lineRule="auto"/>
                              <w:ind w:left="612" w:right="1086"/>
                            </w:pPr>
                            <w:r>
                              <w:rPr>
                                <w:spacing w:val="-2"/>
                              </w:rPr>
                              <w:t>本公司保留对产品及说明书改进的权利，如有改动恕不另行通知，产品外观以实物为准；</w:t>
                            </w:r>
                          </w:p>
                          <w:p>
                            <w:pPr>
                              <w:pStyle w:val="2"/>
                              <w:spacing w:line="540" w:lineRule="exact"/>
                              <w:ind w:left="612"/>
                            </w:pPr>
                            <w:r>
                              <w:rPr>
                                <w:spacing w:val="-5"/>
                              </w:rPr>
                              <w:t>本册经过认真核对，但不排除可能存在印刷错漏或内容上的</w:t>
                            </w:r>
                          </w:p>
                          <w:p>
                            <w:pPr>
                              <w:pStyle w:val="2"/>
                              <w:spacing w:before="80" w:line="458" w:lineRule="exact"/>
                              <w:ind w:left="612"/>
                            </w:pPr>
                            <w:r>
                              <w:rPr>
                                <w:spacing w:val="-5"/>
                              </w:rPr>
                              <w:t>误解，敬请谅解，本公司保有解释权。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59.4pt;margin-top:18.25pt;height:257.5pt;width:500.2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IOnsi2QAAAAsBAAAPAAAAAAAAAAEAIAAAACIAAABkcnMvZG93bnJldi54bWxQSwECFAAUAAAA&#10;CACHTuJAvMMgVrQBAAB3AwAADgAAAAAAAAABACAAAAAo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Noto Sans CJK JP"/>
                          <w:b/>
                        </w:rPr>
                      </w:pPr>
                    </w:p>
                    <w:p>
                      <w:pPr>
                        <w:pStyle w:val="2"/>
                        <w:rPr>
                          <w:rFonts w:ascii="Noto Sans CJK JP"/>
                          <w:b/>
                        </w:rPr>
                      </w:pPr>
                    </w:p>
                    <w:p>
                      <w:pPr>
                        <w:pStyle w:val="2"/>
                        <w:rPr>
                          <w:rFonts w:ascii="Noto Sans CJK JP"/>
                          <w:b/>
                        </w:rPr>
                      </w:pPr>
                    </w:p>
                    <w:p>
                      <w:pPr>
                        <w:pStyle w:val="2"/>
                        <w:spacing w:before="410"/>
                        <w:rPr>
                          <w:rFonts w:ascii="Noto Sans CJK JP"/>
                          <w:b/>
                        </w:rPr>
                      </w:pPr>
                    </w:p>
                    <w:p>
                      <w:pPr>
                        <w:pStyle w:val="2"/>
                        <w:spacing w:line="276" w:lineRule="auto"/>
                        <w:ind w:left="612" w:right="1086"/>
                      </w:pPr>
                      <w:r>
                        <w:rPr>
                          <w:spacing w:val="-2"/>
                        </w:rPr>
                        <w:t>本公司保留对产品及说明书改进的权利，如有改动恕不另行通知，产品外观以实物为准；</w:t>
                      </w:r>
                    </w:p>
                    <w:p>
                      <w:pPr>
                        <w:pStyle w:val="2"/>
                        <w:spacing w:line="540" w:lineRule="exact"/>
                        <w:ind w:left="612"/>
                      </w:pPr>
                      <w:r>
                        <w:rPr>
                          <w:spacing w:val="-5"/>
                        </w:rPr>
                        <w:t>本册经过认真核对，但不排除可能存在印刷错漏或内容上的</w:t>
                      </w:r>
                    </w:p>
                    <w:p>
                      <w:pPr>
                        <w:pStyle w:val="2"/>
                        <w:spacing w:before="80" w:line="458" w:lineRule="exact"/>
                        <w:ind w:left="612"/>
                      </w:pPr>
                      <w:r>
                        <w:rPr>
                          <w:spacing w:val="-5"/>
                        </w:rPr>
                        <w:t>误解，敬请谅解，本公司保有解释权。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line="541" w:lineRule="exact"/>
      </w:pPr>
    </w:p>
    <w:sectPr>
      <w:pgSz w:w="11910" w:h="16840"/>
      <w:pgMar w:top="1440" w:right="60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UKIJ CJ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60" w:hanging="272"/>
        <w:jc w:val="left"/>
      </w:pPr>
      <w:rPr>
        <w:rFonts w:hint="default" w:ascii="UKIJ CJK" w:hAnsi="UKIJ CJK" w:eastAsia="UKIJ CJK" w:cs="UKIJ CJK"/>
        <w:b w:val="0"/>
        <w:bCs w:val="0"/>
        <w:i w:val="0"/>
        <w:iCs w:val="0"/>
        <w:spacing w:val="0"/>
        <w:w w:val="8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10" w:hanging="27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61" w:hanging="27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11" w:hanging="27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62" w:hanging="27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13" w:hanging="27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63" w:hanging="27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4" w:hanging="27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65" w:hanging="272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·"/>
      <w:lvlJc w:val="left"/>
      <w:pPr>
        <w:ind w:left="1603" w:hanging="360"/>
      </w:pPr>
      <w:rPr>
        <w:rFonts w:hint="default" w:ascii="Noto Sans CJK JP" w:hAnsi="Noto Sans CJK JP" w:eastAsia="Noto Sans CJK JP" w:cs="Noto Sans CJK JP"/>
        <w:spacing w:val="0"/>
        <w:w w:val="7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33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919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06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93" w:hanging="36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jZkYTlkZjk3NTNjMjc4NjJiM2JlMzk2Mzc0ZjliMDYifQ=="/>
  </w:docVars>
  <w:rsids>
    <w:rsidRoot w:val="00000000"/>
    <w:rsid w:val="049C5A02"/>
    <w:rsid w:val="44E26956"/>
    <w:rsid w:val="591A1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UKIJ CJK" w:hAnsi="UKIJ CJK" w:eastAsia="UKIJ CJK" w:cs="UKIJ CJK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UKIJ CJK" w:hAnsi="UKIJ CJK" w:eastAsia="UKIJ CJK" w:cs="UKIJ CJK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603" w:hanging="360"/>
    </w:pPr>
    <w:rPr>
      <w:rFonts w:ascii="UKIJ CJK" w:hAnsi="UKIJ CJK" w:eastAsia="UKIJ CJK" w:cs="UKIJ CJK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64" w:line="539" w:lineRule="exact"/>
      <w:ind w:left="107"/>
    </w:pPr>
    <w:rPr>
      <w:rFonts w:ascii="UKIJ CJK" w:hAnsi="UKIJ CJK" w:eastAsia="UKIJ CJK" w:cs="UKIJ CJ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920</Words>
  <Characters>1003</Characters>
  <TotalTime>1</TotalTime>
  <ScaleCrop>false</ScaleCrop>
  <LinksUpToDate>false</LinksUpToDate>
  <CharactersWithSpaces>1037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2024-07-10T02:20:00Z</dcterms:created>
  <dc:creator>huang ziying</dc:creator>
  <cp:lastModifiedBy>清茶</cp:lastModifiedBy>
  <dcterms:modified xsi:type="dcterms:W3CDTF">2024-07-12T10:48:23Z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2052-12.1.0.16929</vt:lpwstr>
  </property>
  <property fmtid="{D5CDD505-2E9C-101B-9397-08002B2CF9AE}" pid="7" name="ICV">
    <vt:lpwstr>459C12CDB94D465EB7DD77105E4645A2_12</vt:lpwstr>
  </property>
</Properties>
</file>